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44"/>
          <w:szCs w:val="44"/>
        </w:rPr>
      </w:pPr>
      <w:r>
        <w:rPr>
          <w:rFonts w:hint="eastAsia" w:ascii="黑体" w:hAnsi="黑体" w:eastAsia="黑体"/>
          <w:sz w:val="44"/>
          <w:szCs w:val="44"/>
        </w:rPr>
        <w:t>宁夏新商务技工学校2019年招生简章</w:t>
      </w:r>
    </w:p>
    <w:p>
      <w:pPr>
        <w:jc w:val="center"/>
        <w:rPr>
          <w:rFonts w:hint="eastAsia" w:ascii="黑体" w:hAnsi="黑体" w:eastAsia="黑体"/>
          <w:sz w:val="44"/>
          <w:szCs w:val="44"/>
          <w:lang w:eastAsia="zh-CN"/>
        </w:rPr>
      </w:pPr>
    </w:p>
    <w:p>
      <w:pPr>
        <w:rPr>
          <w:rFonts w:ascii="仿宋" w:hAnsi="仿宋" w:eastAsia="仿宋"/>
          <w:b/>
          <w:sz w:val="32"/>
          <w:szCs w:val="32"/>
        </w:rPr>
      </w:pPr>
      <w:r>
        <w:rPr>
          <w:rFonts w:hint="eastAsia" w:ascii="仿宋" w:hAnsi="仿宋" w:eastAsia="仿宋"/>
          <w:b/>
          <w:sz w:val="32"/>
          <w:szCs w:val="32"/>
        </w:rPr>
        <w:t>一．学校简介</w:t>
      </w:r>
      <w:r>
        <w:rPr>
          <w:rFonts w:hint="eastAsia" w:ascii="仿宋" w:hAnsi="仿宋" w:eastAsia="仿宋"/>
          <w:b/>
          <w:sz w:val="32"/>
          <w:szCs w:val="32"/>
        </w:rPr>
        <w:br w:type="textWrapping"/>
      </w:r>
      <w:r>
        <w:rPr>
          <w:rFonts w:hint="eastAsia" w:ascii="黑体" w:hAnsi="黑体" w:eastAsia="黑体"/>
          <w:sz w:val="44"/>
          <w:szCs w:val="44"/>
          <w:lang w:eastAsia="zh-CN"/>
        </w:rPr>
        <w:drawing>
          <wp:inline distT="0" distB="0" distL="114300" distR="114300">
            <wp:extent cx="5881370" cy="3921125"/>
            <wp:effectExtent l="0" t="0" r="5080" b="3175"/>
            <wp:docPr id="7" name="图片 7" descr="IMG_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643"/>
                    <pic:cNvPicPr>
                      <a:picLocks noChangeAspect="1"/>
                    </pic:cNvPicPr>
                  </pic:nvPicPr>
                  <pic:blipFill>
                    <a:blip r:embed="rId4"/>
                    <a:stretch>
                      <a:fillRect/>
                    </a:stretch>
                  </pic:blipFill>
                  <pic:spPr>
                    <a:xfrm>
                      <a:off x="0" y="0"/>
                      <a:ext cx="5881370" cy="3921125"/>
                    </a:xfrm>
                    <a:prstGeom prst="rect">
                      <a:avLst/>
                    </a:prstGeom>
                  </pic:spPr>
                </pic:pic>
              </a:graphicData>
            </a:graphic>
          </wp:inline>
        </w:drawing>
      </w:r>
    </w:p>
    <w:p>
      <w:pPr>
        <w:ind w:firstLine="641"/>
        <w:rPr>
          <w:rFonts w:hint="eastAsia" w:ascii="仿宋" w:hAnsi="仿宋" w:eastAsia="仿宋"/>
          <w:sz w:val="32"/>
          <w:szCs w:val="32"/>
        </w:rPr>
      </w:pPr>
      <w:r>
        <w:rPr>
          <w:rFonts w:hint="eastAsia" w:ascii="仿宋" w:hAnsi="仿宋" w:eastAsia="仿宋"/>
          <w:sz w:val="32"/>
          <w:szCs w:val="32"/>
        </w:rPr>
        <w:t>宁夏新商务技工学校是经宁夏回族自治区人力资源和社会保障厅批准成立，是一所具备高等职业学校设置标准的独立校园，可同时容纳学生4960人。是集技工教育、职业培训、技能鉴定为一体的全日制学校。学校地处银川市兴庆区，占地面积213亩，建筑面积58583.7平方米，现有在校生2926人，其中中技生1623人，大专生1303人。</w:t>
      </w:r>
    </w:p>
    <w:p>
      <w:pPr>
        <w:ind w:firstLine="641"/>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894705" cy="2844165"/>
            <wp:effectExtent l="0" t="0" r="10795" b="13335"/>
            <wp:docPr id="11" name="图片 1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2"/>
                    <pic:cNvPicPr>
                      <a:picLocks noChangeAspect="1"/>
                    </pic:cNvPicPr>
                  </pic:nvPicPr>
                  <pic:blipFill>
                    <a:blip r:embed="rId5"/>
                    <a:stretch>
                      <a:fillRect/>
                    </a:stretch>
                  </pic:blipFill>
                  <pic:spPr>
                    <a:xfrm>
                      <a:off x="0" y="0"/>
                      <a:ext cx="5894705" cy="2844165"/>
                    </a:xfrm>
                    <a:prstGeom prst="rect">
                      <a:avLst/>
                    </a:prstGeom>
                  </pic:spPr>
                </pic:pic>
              </a:graphicData>
            </a:graphic>
          </wp:inline>
        </w:drawing>
      </w:r>
    </w:p>
    <w:p>
      <w:pPr>
        <w:ind w:firstLine="641"/>
        <w:rPr>
          <w:rFonts w:ascii="仿宋" w:hAnsi="仿宋" w:eastAsia="仿宋"/>
          <w:sz w:val="32"/>
          <w:szCs w:val="32"/>
        </w:rPr>
      </w:pPr>
      <w:r>
        <w:rPr>
          <w:rFonts w:hint="eastAsia" w:ascii="仿宋" w:hAnsi="仿宋" w:eastAsia="仿宋"/>
          <w:sz w:val="32"/>
          <w:szCs w:val="32"/>
        </w:rPr>
        <w:t>学校与国家开放大学、宁夏大学继续教育学院、天津职业技术师范大学附属高级技术学校、东莞市技师学院等区内、外高等院校联合办学，并开展国际合作办学，现与英国ASFI、德国IHK、加拿大DVS技能认证机构建立培训技术认证合作。毕业生具有一定的外语水平，可到国外持证就业或获得移民身份，使学校创新和践行“技能+学历+国外证书”的高技能人才培养模式。</w:t>
      </w:r>
    </w:p>
    <w:p>
      <w:pPr>
        <w:rPr>
          <w:rFonts w:ascii="仿宋" w:hAnsi="仿宋" w:eastAsia="仿宋"/>
          <w:sz w:val="32"/>
          <w:szCs w:val="32"/>
        </w:rPr>
      </w:pPr>
      <w:r>
        <w:rPr>
          <w:rFonts w:hint="eastAsia" w:ascii="仿宋" w:hAnsi="仿宋" w:eastAsia="仿宋"/>
          <w:sz w:val="32"/>
          <w:szCs w:val="32"/>
        </w:rPr>
        <w:t>　　学校采用“校企合作、订单委培、定向就业”办学模式。自办学以来始终坚持就业一对一服务，先后向社会输送各类专业技术人才近万人，获得社会和家长的一致好评。</w:t>
      </w:r>
    </w:p>
    <w:p>
      <w:pPr>
        <w:ind w:firstLine="640" w:firstLineChars="200"/>
        <w:rPr>
          <w:rFonts w:hint="eastAsia" w:ascii="仿宋" w:hAnsi="仿宋" w:eastAsia="仿宋"/>
          <w:sz w:val="32"/>
          <w:szCs w:val="32"/>
        </w:rPr>
      </w:pPr>
      <w:r>
        <w:rPr>
          <w:rFonts w:hint="eastAsia" w:ascii="仿宋" w:hAnsi="仿宋" w:eastAsia="仿宋"/>
          <w:sz w:val="32"/>
          <w:szCs w:val="32"/>
        </w:rPr>
        <w:t>2019年5月，京东云仓首个智能物流实训校企合作项目在宁夏新商务技工学校正式签约，京东华中区域分公司授予宁夏新商务技工学校“京东商学院培训基地”，学校将不断深化校企合作和学校文化建设，重质量，铸品牌，争创一流教育品牌。</w:t>
      </w:r>
    </w:p>
    <w:p>
      <w:pPr>
        <w:ind w:firstLine="640" w:firstLineChars="200"/>
        <w:jc w:val="both"/>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904230" cy="3760470"/>
            <wp:effectExtent l="0" t="0" r="1270" b="11430"/>
            <wp:docPr id="9" name="图片 9" descr="DJI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JI_0065"/>
                    <pic:cNvPicPr>
                      <a:picLocks noChangeAspect="1"/>
                    </pic:cNvPicPr>
                  </pic:nvPicPr>
                  <pic:blipFill>
                    <a:blip r:embed="rId6"/>
                    <a:stretch>
                      <a:fillRect/>
                    </a:stretch>
                  </pic:blipFill>
                  <pic:spPr>
                    <a:xfrm>
                      <a:off x="0" y="0"/>
                      <a:ext cx="5904230" cy="3760470"/>
                    </a:xfrm>
                    <a:prstGeom prst="rect">
                      <a:avLst/>
                    </a:prstGeom>
                  </pic:spPr>
                </pic:pic>
              </a:graphicData>
            </a:graphic>
          </wp:inline>
        </w:drawing>
      </w:r>
    </w:p>
    <w:p>
      <w:pPr>
        <w:rPr>
          <w:rFonts w:hint="eastAsia" w:ascii="仿宋" w:hAnsi="仿宋" w:eastAsia="仿宋"/>
          <w:sz w:val="32"/>
          <w:szCs w:val="32"/>
        </w:rPr>
      </w:pPr>
    </w:p>
    <w:p>
      <w:pPr>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903595" cy="2510790"/>
            <wp:effectExtent l="0" t="0" r="1905" b="3810"/>
            <wp:docPr id="10" name="图片 10" descr="520e7b32101ff261b6a96cd0cedc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20e7b32101ff261b6a96cd0cedce0e"/>
                    <pic:cNvPicPr>
                      <a:picLocks noChangeAspect="1"/>
                    </pic:cNvPicPr>
                  </pic:nvPicPr>
                  <pic:blipFill>
                    <a:blip r:embed="rId7"/>
                    <a:stretch>
                      <a:fillRect/>
                    </a:stretch>
                  </pic:blipFill>
                  <pic:spPr>
                    <a:xfrm>
                      <a:off x="0" y="0"/>
                      <a:ext cx="5903595" cy="2510790"/>
                    </a:xfrm>
                    <a:prstGeom prst="rect">
                      <a:avLst/>
                    </a:prstGeom>
                  </pic:spPr>
                </pic:pic>
              </a:graphicData>
            </a:graphic>
          </wp:inline>
        </w:drawing>
      </w:r>
    </w:p>
    <w:p>
      <w:pPr>
        <w:ind w:firstLine="640" w:firstLineChars="200"/>
        <w:rPr>
          <w:rFonts w:hint="eastAsia" w:ascii="仿宋" w:hAnsi="仿宋" w:eastAsia="仿宋"/>
          <w:sz w:val="32"/>
          <w:szCs w:val="32"/>
          <w:lang w:eastAsia="zh-CN"/>
        </w:rPr>
      </w:pPr>
    </w:p>
    <w:p>
      <w:pPr>
        <w:numPr>
          <w:ilvl w:val="0"/>
          <w:numId w:val="1"/>
        </w:numPr>
        <w:rPr>
          <w:rFonts w:hint="eastAsia" w:ascii="仿宋" w:hAnsi="仿宋" w:eastAsia="仿宋"/>
          <w:b/>
          <w:sz w:val="32"/>
          <w:szCs w:val="32"/>
        </w:rPr>
      </w:pPr>
      <w:r>
        <w:rPr>
          <w:rFonts w:hint="eastAsia" w:ascii="仿宋" w:hAnsi="仿宋" w:eastAsia="仿宋"/>
          <w:b/>
          <w:sz w:val="32"/>
          <w:szCs w:val="32"/>
          <w:lang w:val="en-US" w:eastAsia="zh-CN"/>
        </w:rPr>
        <w:t>2019年专业设置及招生计划</w:t>
      </w:r>
    </w:p>
    <w:p>
      <w:pPr>
        <w:widowControl w:val="0"/>
        <w:numPr>
          <w:numId w:val="0"/>
        </w:numPr>
        <w:jc w:val="both"/>
      </w:pPr>
      <w:r>
        <w:drawing>
          <wp:inline distT="0" distB="0" distL="114300" distR="114300">
            <wp:extent cx="6377305" cy="8438515"/>
            <wp:effectExtent l="0" t="0" r="444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6377305" cy="8438515"/>
                    </a:xfrm>
                    <a:prstGeom prst="rect">
                      <a:avLst/>
                    </a:prstGeom>
                    <a:noFill/>
                    <a:ln>
                      <a:noFill/>
                    </a:ln>
                  </pic:spPr>
                </pic:pic>
              </a:graphicData>
            </a:graphic>
          </wp:inline>
        </w:drawing>
      </w:r>
    </w:p>
    <w:p>
      <w:pPr>
        <w:widowControl w:val="0"/>
        <w:numPr>
          <w:numId w:val="0"/>
        </w:numPr>
        <w:jc w:val="both"/>
        <w:rPr>
          <w:rFonts w:hint="eastAsia" w:ascii="仿宋" w:hAnsi="仿宋" w:eastAsia="仿宋"/>
          <w:b/>
          <w:sz w:val="32"/>
          <w:szCs w:val="32"/>
        </w:rPr>
      </w:pPr>
      <w:r>
        <w:drawing>
          <wp:inline distT="0" distB="0" distL="114300" distR="114300">
            <wp:extent cx="6303645" cy="8816975"/>
            <wp:effectExtent l="0" t="0" r="190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6303645" cy="8816975"/>
                    </a:xfrm>
                    <a:prstGeom prst="rect">
                      <a:avLst/>
                    </a:prstGeom>
                    <a:noFill/>
                    <a:ln>
                      <a:noFill/>
                    </a:ln>
                  </pic:spPr>
                </pic:pic>
              </a:graphicData>
            </a:graphic>
          </wp:inline>
        </w:drawing>
      </w:r>
    </w:p>
    <w:p>
      <w:pPr>
        <w:rPr>
          <w:rFonts w:ascii="仿宋" w:hAnsi="仿宋" w:eastAsia="仿宋"/>
          <w:b/>
          <w:sz w:val="32"/>
          <w:szCs w:val="32"/>
        </w:rPr>
      </w:pPr>
      <w:r>
        <w:rPr>
          <w:rFonts w:hint="eastAsia" w:ascii="仿宋" w:hAnsi="仿宋" w:eastAsia="仿宋"/>
          <w:b/>
          <w:sz w:val="32"/>
          <w:szCs w:val="32"/>
          <w:lang w:val="en-US" w:eastAsia="zh-CN"/>
        </w:rPr>
        <w:t>三</w:t>
      </w:r>
      <w:r>
        <w:rPr>
          <w:rFonts w:hint="eastAsia" w:ascii="仿宋" w:hAnsi="仿宋" w:eastAsia="仿宋"/>
          <w:b/>
          <w:sz w:val="32"/>
          <w:szCs w:val="32"/>
        </w:rPr>
        <w:t>．“1+X”培养模式（学历+技能+国际认证）</w:t>
      </w:r>
    </w:p>
    <w:p>
      <w:pPr>
        <w:ind w:firstLine="420"/>
        <w:rPr>
          <w:rFonts w:ascii="仿宋" w:hAnsi="仿宋" w:eastAsia="仿宋"/>
          <w:sz w:val="32"/>
          <w:szCs w:val="32"/>
        </w:rPr>
      </w:pPr>
      <w:r>
        <w:rPr>
          <w:rFonts w:hint="eastAsia" w:ascii="仿宋" w:hAnsi="仿宋" w:eastAsia="仿宋"/>
          <w:sz w:val="32"/>
          <w:szCs w:val="32"/>
        </w:rPr>
        <w:t>“1+X”培养模式：学生在校学习本专业课程以外还可免费选修其他专业技能（普通话、商务礼仪、形象设计、中式烹饪、中式面点、西式烹饪、糕点烘焙、茶艺、电工、焊接、汽车驾驶等），并考取国家职业资格证书。</w:t>
      </w:r>
    </w:p>
    <w:p>
      <w:pPr>
        <w:rPr>
          <w:rFonts w:ascii="仿宋" w:hAnsi="仿宋" w:eastAsia="仿宋"/>
          <w:b/>
          <w:sz w:val="32"/>
          <w:szCs w:val="32"/>
        </w:rPr>
      </w:pPr>
      <w:r>
        <w:rPr>
          <w:rFonts w:hint="eastAsia" w:ascii="仿宋" w:hAnsi="仿宋" w:eastAsia="仿宋"/>
          <w:b/>
          <w:sz w:val="32"/>
          <w:szCs w:val="32"/>
          <w:lang w:val="en-US" w:eastAsia="zh-CN"/>
        </w:rPr>
        <w:t>四</w:t>
      </w:r>
      <w:r>
        <w:rPr>
          <w:rFonts w:hint="eastAsia" w:ascii="仿宋" w:hAnsi="仿宋" w:eastAsia="仿宋"/>
          <w:b/>
          <w:sz w:val="32"/>
          <w:szCs w:val="32"/>
        </w:rPr>
        <w:t>．助学政策</w:t>
      </w:r>
    </w:p>
    <w:p>
      <w:pPr>
        <w:ind w:firstLine="420"/>
        <w:rPr>
          <w:rFonts w:hint="eastAsia" w:ascii="仿宋" w:hAnsi="仿宋" w:eastAsia="仿宋"/>
          <w:sz w:val="32"/>
          <w:szCs w:val="32"/>
        </w:rPr>
      </w:pPr>
      <w:r>
        <w:rPr>
          <w:rFonts w:hint="eastAsia" w:ascii="仿宋" w:hAnsi="仿宋" w:eastAsia="仿宋"/>
          <w:sz w:val="32"/>
          <w:szCs w:val="32"/>
        </w:rPr>
        <w:t>1.按照国家资助政策，我校录取学生享受免学费每生每年2000元；</w:t>
      </w:r>
    </w:p>
    <w:p>
      <w:pPr>
        <w:ind w:firstLine="420"/>
        <w:rPr>
          <w:rFonts w:ascii="仿宋" w:hAnsi="仿宋" w:eastAsia="仿宋"/>
          <w:sz w:val="32"/>
          <w:szCs w:val="32"/>
        </w:rPr>
      </w:pPr>
      <w:r>
        <w:rPr>
          <w:rFonts w:hint="eastAsia" w:ascii="仿宋" w:hAnsi="仿宋" w:eastAsia="仿宋"/>
          <w:sz w:val="32"/>
          <w:szCs w:val="32"/>
          <w:lang w:val="en-US" w:eastAsia="zh-CN"/>
        </w:rPr>
        <w:t>2.符</w:t>
      </w:r>
      <w:r>
        <w:rPr>
          <w:rFonts w:hint="eastAsia" w:ascii="仿宋" w:hAnsi="仿宋" w:eastAsia="仿宋"/>
          <w:sz w:val="32"/>
          <w:szCs w:val="32"/>
        </w:rPr>
        <w:t>合国家资助政策条件者，前两年享受国家助学金（每年2000元直接打入学生个人资助卡内）；</w:t>
      </w:r>
    </w:p>
    <w:p>
      <w:pPr>
        <w:ind w:firstLine="420"/>
        <w:rPr>
          <w:rFonts w:ascii="仿宋" w:hAnsi="仿宋" w:eastAsia="仿宋"/>
          <w:sz w:val="32"/>
          <w:szCs w:val="32"/>
        </w:rPr>
      </w:pPr>
      <w:r>
        <w:rPr>
          <w:rFonts w:hint="eastAsia" w:ascii="仿宋" w:hAnsi="仿宋" w:eastAsia="仿宋"/>
          <w:sz w:val="32"/>
          <w:szCs w:val="32"/>
          <w:lang w:val="en-US" w:eastAsia="zh-CN"/>
        </w:rPr>
        <w:t>3.</w:t>
      </w:r>
      <w:r>
        <w:rPr>
          <w:rFonts w:hint="eastAsia" w:ascii="仿宋" w:hAnsi="仿宋" w:eastAsia="仿宋"/>
          <w:sz w:val="32"/>
          <w:szCs w:val="32"/>
        </w:rPr>
        <w:t>学校每年评定一定比例的奖学金，用于奖励品学兼优的学生；</w:t>
      </w:r>
    </w:p>
    <w:p>
      <w:pPr>
        <w:ind w:firstLine="420"/>
        <w:rPr>
          <w:rFonts w:ascii="仿宋" w:hAnsi="仿宋" w:eastAsia="仿宋"/>
          <w:sz w:val="32"/>
          <w:szCs w:val="32"/>
        </w:rPr>
      </w:pPr>
      <w:r>
        <w:rPr>
          <w:rFonts w:hint="eastAsia" w:ascii="仿宋" w:hAnsi="仿宋" w:eastAsia="仿宋"/>
          <w:sz w:val="32"/>
          <w:szCs w:val="32"/>
          <w:lang w:val="en-US" w:eastAsia="zh-CN"/>
        </w:rPr>
        <w:t>4.</w:t>
      </w:r>
      <w:r>
        <w:rPr>
          <w:rFonts w:hint="eastAsia" w:ascii="仿宋" w:hAnsi="仿宋" w:eastAsia="仿宋"/>
          <w:sz w:val="32"/>
          <w:szCs w:val="32"/>
        </w:rPr>
        <w:t>学校为家庭经济困难学生提供勤工俭学岗位，帮助学生顺利完成学业。</w:t>
      </w:r>
    </w:p>
    <w:p>
      <w:pPr>
        <w:ind w:firstLine="420"/>
        <w:rPr>
          <w:rFonts w:ascii="仿宋" w:hAnsi="仿宋" w:eastAsia="仿宋"/>
          <w:b/>
          <w:bCs/>
          <w:sz w:val="32"/>
          <w:szCs w:val="32"/>
        </w:rPr>
      </w:pPr>
      <w:r>
        <w:rPr>
          <w:rFonts w:hint="eastAsia" w:ascii="仿宋" w:hAnsi="仿宋" w:eastAsia="仿宋"/>
          <w:b/>
          <w:bCs/>
          <w:sz w:val="32"/>
          <w:szCs w:val="32"/>
          <w:lang w:val="en-US" w:eastAsia="zh-CN"/>
        </w:rPr>
        <w:t>五</w:t>
      </w:r>
      <w:r>
        <w:rPr>
          <w:rFonts w:hint="eastAsia" w:ascii="仿宋" w:hAnsi="仿宋" w:eastAsia="仿宋"/>
          <w:b/>
          <w:bCs/>
          <w:sz w:val="32"/>
          <w:szCs w:val="32"/>
        </w:rPr>
        <w:t>．报名地点：</w:t>
      </w:r>
    </w:p>
    <w:p>
      <w:pPr>
        <w:ind w:left="315" w:leftChars="150"/>
        <w:rPr>
          <w:rFonts w:hint="default" w:ascii="仿宋" w:hAnsi="仿宋" w:eastAsia="仿宋" w:cs="仿宋_GB2312"/>
          <w:bCs/>
          <w:sz w:val="32"/>
          <w:szCs w:val="32"/>
          <w:lang w:val="en-US" w:eastAsia="zh-CN"/>
        </w:rPr>
      </w:pPr>
      <w:r>
        <w:rPr>
          <w:rFonts w:hint="eastAsia" w:ascii="仿宋" w:hAnsi="仿宋" w:eastAsia="仿宋" w:cs="仿宋_GB2312"/>
          <w:b/>
          <w:bCs/>
          <w:sz w:val="32"/>
          <w:szCs w:val="32"/>
        </w:rPr>
        <w:t>兴庆区报名点：</w:t>
      </w:r>
      <w:r>
        <w:rPr>
          <w:rFonts w:hint="eastAsia" w:ascii="仿宋" w:hAnsi="仿宋" w:eastAsia="仿宋" w:cs="仿宋_GB2312"/>
          <w:sz w:val="32"/>
          <w:szCs w:val="32"/>
        </w:rPr>
        <w:t xml:space="preserve">银川市兴庆区掌政镇宁夏新商务技工学校升学就业大厅       </w:t>
      </w:r>
      <w:r>
        <w:rPr>
          <w:rFonts w:hint="eastAsia" w:ascii="仿宋" w:hAnsi="仿宋" w:eastAsia="仿宋" w:cs="仿宋_GB2312"/>
          <w:bCs/>
          <w:sz w:val="32"/>
          <w:szCs w:val="32"/>
        </w:rPr>
        <w:t>电话：0951-8675566</w:t>
      </w:r>
      <w:r>
        <w:rPr>
          <w:rFonts w:hint="eastAsia" w:ascii="仿宋" w:hAnsi="仿宋" w:eastAsia="仿宋" w:cs="仿宋_GB2312"/>
          <w:bCs/>
          <w:sz w:val="32"/>
          <w:szCs w:val="32"/>
          <w:lang w:val="en-US" w:eastAsia="zh-CN"/>
        </w:rPr>
        <w:t xml:space="preserve">  2078119   4115566</w:t>
      </w:r>
    </w:p>
    <w:p>
      <w:r>
        <w:rPr>
          <w:rFonts w:hint="eastAsia" w:ascii="仿宋" w:hAnsi="仿宋" w:eastAsia="仿宋" w:cs="仿宋_GB2312"/>
          <w:bCs/>
          <w:sz w:val="32"/>
          <w:szCs w:val="32"/>
          <w:lang w:eastAsia="zh-CN"/>
        </w:rPr>
        <w:drawing>
          <wp:inline distT="0" distB="0" distL="114300" distR="114300">
            <wp:extent cx="5897880" cy="2369820"/>
            <wp:effectExtent l="0" t="0" r="7620" b="11430"/>
            <wp:docPr id="8" name="图片 8" descr="065009af5aaad0fd61bd620f31b6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65009af5aaad0fd61bd620f31b6bfc"/>
                    <pic:cNvPicPr>
                      <a:picLocks noChangeAspect="1"/>
                    </pic:cNvPicPr>
                  </pic:nvPicPr>
                  <pic:blipFill>
                    <a:blip r:embed="rId10"/>
                    <a:stretch>
                      <a:fillRect/>
                    </a:stretch>
                  </pic:blipFill>
                  <pic:spPr>
                    <a:xfrm>
                      <a:off x="0" y="0"/>
                      <a:ext cx="5897880" cy="2369820"/>
                    </a:xfrm>
                    <a:prstGeom prst="rect">
                      <a:avLst/>
                    </a:prstGeom>
                  </pic:spPr>
                </pic:pic>
              </a:graphicData>
            </a:graphic>
          </wp:inline>
        </w:drawing>
      </w:r>
      <w:bookmarkStart w:id="0" w:name="_GoBack"/>
      <w:bookmarkEnd w:id="0"/>
    </w:p>
    <w:sectPr>
      <w:pgSz w:w="11906" w:h="16838"/>
      <w:pgMar w:top="1418" w:right="1304" w:bottom="1418"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141433"/>
    <w:multiLevelType w:val="singleLevel"/>
    <w:tmpl w:val="D614143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5F40B7"/>
    <w:rsid w:val="00083FCE"/>
    <w:rsid w:val="00127EF9"/>
    <w:rsid w:val="00155DF0"/>
    <w:rsid w:val="001D2B8D"/>
    <w:rsid w:val="001E149D"/>
    <w:rsid w:val="002312FA"/>
    <w:rsid w:val="00235C06"/>
    <w:rsid w:val="002917CF"/>
    <w:rsid w:val="002F4E1D"/>
    <w:rsid w:val="003832D0"/>
    <w:rsid w:val="003D19CF"/>
    <w:rsid w:val="00425793"/>
    <w:rsid w:val="004A0211"/>
    <w:rsid w:val="004A2B7E"/>
    <w:rsid w:val="005837F4"/>
    <w:rsid w:val="00605337"/>
    <w:rsid w:val="006228CE"/>
    <w:rsid w:val="00633A4E"/>
    <w:rsid w:val="00654272"/>
    <w:rsid w:val="00870BDA"/>
    <w:rsid w:val="008F1B2E"/>
    <w:rsid w:val="009E3312"/>
    <w:rsid w:val="00A853B7"/>
    <w:rsid w:val="00AC7212"/>
    <w:rsid w:val="00AF44A5"/>
    <w:rsid w:val="00B21197"/>
    <w:rsid w:val="00BF5E5D"/>
    <w:rsid w:val="00C45492"/>
    <w:rsid w:val="00CA4FD1"/>
    <w:rsid w:val="00D4538E"/>
    <w:rsid w:val="00D7105C"/>
    <w:rsid w:val="00DB4B6C"/>
    <w:rsid w:val="00DE6519"/>
    <w:rsid w:val="00EC0DE9"/>
    <w:rsid w:val="00EC267B"/>
    <w:rsid w:val="00ED1024"/>
    <w:rsid w:val="00F20272"/>
    <w:rsid w:val="00F216BA"/>
    <w:rsid w:val="00F23997"/>
    <w:rsid w:val="00F535DD"/>
    <w:rsid w:val="00FD1DFA"/>
    <w:rsid w:val="00FD6086"/>
    <w:rsid w:val="185F40B7"/>
    <w:rsid w:val="58B73E5F"/>
    <w:rsid w:val="6CB673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650</Words>
  <Characters>3705</Characters>
  <Lines>30</Lines>
  <Paragraphs>8</Paragraphs>
  <TotalTime>12</TotalTime>
  <ScaleCrop>false</ScaleCrop>
  <LinksUpToDate>false</LinksUpToDate>
  <CharactersWithSpaces>4347</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2019-06-22T01:44:00Z</dcterms:created>
  <dc:creator>畅畅宝贝</dc:creator>
  <cp:lastModifiedBy>淡淡笑意</cp:lastModifiedBy>
  <dcterms:modified xsi:type="dcterms:W3CDTF">2019-07-16T04:06:57Z</dcterms:modified>
  <cp:revision>489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